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16</w:t>
      </w:r>
    </w:p>
    <w:p>
      <w:r>
        <w:t>Bundesgericht (BGE), 1966-01-21, DE</w:t>
      </w:r>
    </w:p>
    <w:p>
      <w:r>
        <w:rPr>
          <w:b/>
        </w:rPr>
        <w:t xml:space="preserve">Quelle: </w:t>
      </w:r>
      <w:r>
        <w:t>https://mcp.opencaselaw.ch/entscheid/bge_92 IV 16</w:t>
      </w:r>
    </w:p>
    <w:p>
      <w:r>
        <w:t>FR: ATF 92 IV 16</w:t>
      </w:r>
    </w:p>
    <w:p>
      <w:r>
        <w:t>IT: DTF 92 IV 16</w:t>
      </w:r>
    </w:p>
    <w:p>
      <w:pPr>
        <w:pStyle w:val="Heading2"/>
      </w:pPr>
      <w:r>
        <w:t>Regeste</w:t>
      </w:r>
    </w:p>
    <w:p>
      <w:r>
        <w:t>Regeste 1. Art. 272 Abs. 6 BStP. Die Parteien haben nur Anspruch, die Akten bei den kantonalen Behörden einzusehen, nicht darauf, dass ihnen die Akten zugestellt werden (Erw. 1). 2. Art. 32 Abs. 1 SVG. Zulässige Geschwindigkeit; Bedeutung der Signale Nr. 115 und 225. Der Vortrittsberechtigte hat die Geschwindigkeit herabzusetzen, sobald damit zu rechnen ist, dass sich ein Wartepflichtiger unrichtig verhalten könnte (Erw. 2 und 3). 3. Art. 31 Abs. 1 SVG. Der Fahrzeugführer, der zu spät Massnamen ergreift, um die Gefahr eines Zusammenstosses abzuwenden, beherrscht sein Fahrzeug nicht (Erw. 2 und 3). 4. Art. 26 SVG. Diese Grundregel hat neben den besondern Verkehrsregeln der Art. 31 und 32 SVG subsidiäre Bedeutung.</w:t>
      </w:r>
    </w:p>
    <w:p>
      <w:pPr>
        <w:pStyle w:val="Heading2"/>
      </w:pPr>
      <w:r>
        <w:t>Erwägungen</w:t>
      </w:r>
    </w:p>
    <w:p>
      <w:r>
        <w:rPr>
          <w:b/>
        </w:rPr>
        <w:t>E. 1</w:t>
      </w:r>
    </w:p>
    <w:p>
      <w:r>
        <w:t>Die Beschwerde enthält in den einleitenden Bemerkungen den Hinweis, dass die Vorinstanz die kantonalen Akten dem Anwalt der Beschwerdeführerin auf dessen Gesuch hin in Verletzung von Art. 272 Abs. 6 BStP nicht zur Begründung der Beschwerde zugestellt habe. Art. 272 Abs. 6 BStP verpflichtet indessen die kantonalen Behörden nicht, die Akten den Parteien zur Einsicht zuzustellen, sondern die Bestimmung schreibt nur vor, dass die Akten vor Einreichung der Beschwerdeschrift zur Einsicht offenzuhalten seien, was den Sinn hat, es müsse den Parteien Gelegenheit geboten werden, die Akten bei den kantonalen Behörden einzusehen (Entscheidungen des Kassationshofes vom 3. Februar 1949 i.S. Düring gegen Solothurn und vom 27. August 1960 i.S. Peter gegen Bern). Wäre dieser Anspruch verletzt worden, hätte der Kassationshof auf Verlangen der benachteiligten Partei anzuordnen, dass ihr die Einsicht in die Akten ermöglicht wird, ehe über die Beschwerde entschieden wird. Im vorliegenden Falle stellt die Beschwerdeführerin keinen entsprechenden Antrag. Sie macht auch nicht geltend, dass ihrem Anwalt die Einsicht verweigert worden sei, und räumt zudem ein, dass dieser imstande war, die Beschwerdebegründung auf Grund der eigenen Handakten und Notizen abzufassen.</w:t>
      </w:r>
    </w:p>
    <w:p>
      <w:r>
        <w:rPr>
          <w:b/>
        </w:rPr>
        <w:t>E. 2</w:t>
      </w:r>
    </w:p>
    <w:p>
      <w:r>
        <w:t>Die von der Beschwerdeführerin eingehaltene Geschwindigkeit von 100 km/Std war auf der gut ausgebauten Autostrasse bei den gegebenen Sicht- und Verkehrsverhältnissen nicht an sich übersetzt. Zur Herabsetzung der Geschwindigkeit verpflichtete sie auch nicht das Signal Nr. 225 (Überholverbot). Es verbietet nur, andere Motorfahrzeuge zu überholen ( Art. 24 SSV ), bedeutet aber nicht, dass die Geschwindigkeit im Hinblick auf Fahrzeuge, die möglicherweise eingeholt werden, zum vornherein verlangsamt werden müsse. Das ferner angebrachte Signal Nr. 115, das die Kreuzung mit einer Strasse ohne Vortritt anzeigt, warnt den Vortrittsberechtigten vor möglichen Gefahren und verpflichtet ihn zu erhöhter Vorsicht und Aufmerksamkeit; zur Verminderung einer an sich zulässigen Geschwindigkeit ist er aber erst gehalten, wenn bestimmte Anhaltspunkte dafür bestehen, dass ihn ein Wartepflichtiger in seiner Fahrt behindern könnte ( Art. 14 Abs. 1 VRV ; Urteil des Kassationshofes vom 14. Mai 1965 i.S. Gurt gegen Graubünden). BGE 92 IV 16 S. 19 Ob schliesslich das Signal Nr. 113 (Arbeiten auf der Fahrbahn), obschon es nach den Feststellungen des Kreispräsidenten im Strafmandat in Wirklichkeit nicht wegen Bauarbeiten, sondern lediglich wegen des provisorischen Charakters der Abzweigung nach Untervaz aufgestellt worden war, die Fahrzeugführer oder solche, die wie die Beschwerdeführerin von der missbräuchlichen Verwendung des Signals keine Kenntnis hatten, zur Verlangsamung der Geschwindigkeit verpflichtet habe, kann in Rücksicht auf die nachfolgenden Erwägungen offen bleiben. Zur Herabsetzung der Geschwindigkeit war die Beschwerdeführerin auf jeden Fall verpflichtet, als erkennbar wurde, dass der Silolastwagen von links in die Hauptstrasse einbog und diese zu überqueren begann, um die rechte Fahrbahn zu erreichen. In diesem Augenblick musste die Beschwerdeführerin mit der Möglichkeit rechnen, dass der Lastwagenführer den Porsche nicht gesehen habe oder zu spät wahrnehme oder dass er dessen Geschwindigkeit falsch abgeschätzt haben könnte. Sie durfte sich daher nicht im Vertrauen auf ihr Vortrittsrecht darauf verlassen, der Lastwagen werde noch rechtzeitig anhalten, um den Porsche rechts durchfahren zu lassen, sondern sie hatte sich auf das Verhalten des Lastwagenführers einzustellen und ihrerseits alles zu tun, um der drohenden Gefahr eines Zusammenstosses wirksam zu begegnen ( BGE 90 IV 145 ; Art. 26 Abs. 2 SVG ). Dazu wäre sie auch in der Lage gewesen. Nach der verbindlichen Feststellung der Vorinstanz legte der Lastwagen von der Einmündung bis zur Kollisionsstelle eine Wegstrecke von 24 m zurück, für die er 11-13 Sekunden benötigte. Spätestens, als der Lastwagen die Hälfte dieses Weges durchfahren hatte, hätte die Beschwerdeführerin auf der weit überblickbaren Strecke das Einbiegemanöver erkennen können. In diesem Zeitpunkt befand sie sich noch mindestens 150 m vom Lastwagen entfernt, so dass sie ohne weiteres ihre Geschwindigkeit genügend hätte verlangsamen oder nötigenfalls, wenn sie den Lastwagen nicht links überholen durfte, das Fahrzeug hätte anhalten können. Es war in hohem Masse leichtfertig, mit unverminderter Geschwindigkeit zuzufahren, obschon sichere Anzeichen für ein Anhalten des Lastwagens fehlten, und zudem das Fahrzeug erst abzubremsen, als es bereits die Höhe des innerhalb der rechten Fahrbahn befindlichen Lastwagens erreicht hatte. BGE 92 IV 16 S. 20</w:t>
      </w:r>
    </w:p>
    <w:p>
      <w:r>
        <w:rPr>
          <w:b/>
        </w:rPr>
        <w:t>E. 3</w:t>
      </w:r>
    </w:p>
    <w:p>
      <w:r>
        <w:t>Der Beschwerdeführerin wird daher zu Recht vorgeworfen, sie habe ihre Geschwindigkeit nicht den Verkehrsverhältnissen angepasst. Ebenso zutreffend ist der Vorwurf der Nichtbeherrschung des Fahrzeuges, die darin bestand, dass die Beschwerdeführerin - sei es aus Unaufmerksamkeit, sei es aus Verwegenheit - zu spät Massnahmen ergriff, um die Gefahr eines Zusammenstosses mit dem Lastwagen abzuwenden. Verletzt sind somit die Verkehrsregeln der Art. 31 Abs. 1 und 32 Abs. 1 SVG. Eine Bestrafung wegen Verletzung der allgemeinen Grundregel des Art. 26 SVG , die neben den anwendbaren besondern Verkehrsregeln nur subsidiäre Bedeutung hat, fällt dagegen ausser Betracht. Der Wegfall dieser Übertretung ändert jedoch nichts an der unverantwortlichen Fahrweise der Beschwerdeführerin und der Angemessenheit der ausgefällten Busse von Fr. 80.-.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